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color w:val="303438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color w:val="303438"/>
          <w:sz w:val="28"/>
          <w:szCs w:val="28"/>
          <w:highlight w:val="white"/>
        </w:rPr>
      </w:pPr>
      <w:r w:rsidDel="00000000" w:rsidR="00000000" w:rsidRPr="00000000">
        <w:rPr>
          <w:b w:val="1"/>
          <w:color w:val="303438"/>
          <w:sz w:val="28"/>
          <w:szCs w:val="28"/>
          <w:highlight w:val="white"/>
          <w:rtl w:val="0"/>
        </w:rPr>
        <w:t xml:space="preserve">SAJTÓHÍR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color w:val="303438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color w:val="303438"/>
          <w:sz w:val="28"/>
          <w:szCs w:val="28"/>
          <w:highlight w:val="white"/>
        </w:rPr>
      </w:pPr>
      <w:r w:rsidDel="00000000" w:rsidR="00000000" w:rsidRPr="00000000">
        <w:rPr>
          <w:b w:val="1"/>
          <w:color w:val="303438"/>
          <w:sz w:val="28"/>
          <w:szCs w:val="28"/>
          <w:highlight w:val="white"/>
          <w:rtl w:val="0"/>
        </w:rPr>
        <w:t xml:space="preserve">A kkv-k csaknem egyharmada nincs tisztában a legfrissebb számlázással kapcsolatos szabályváltozásokkal</w:t>
      </w:r>
    </w:p>
    <w:p w:rsidR="00000000" w:rsidDel="00000000" w:rsidP="00000000" w:rsidRDefault="00000000" w:rsidRPr="00000000" w14:paraId="00000005">
      <w:pPr>
        <w:spacing w:line="276" w:lineRule="auto"/>
        <w:rPr>
          <w:b w:val="1"/>
          <w:color w:val="303438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b w:val="1"/>
          <w:color w:val="303438"/>
          <w:rtl w:val="0"/>
        </w:rPr>
        <w:t xml:space="preserve">A kkv-k és az egyéni vállalkozók körében még mindig a kézi számlatömb a leggyakrabban használt számlázási módszer – derül ki </w:t>
      </w:r>
      <w:r w:rsidDel="00000000" w:rsidR="00000000" w:rsidRPr="00000000">
        <w:rPr>
          <w:b w:val="1"/>
          <w:color w:val="303438"/>
          <w:highlight w:val="white"/>
          <w:rtl w:val="0"/>
        </w:rPr>
        <w:t xml:space="preserve">a Számlázz.hu megbízásából az NRC kutatóintézet által készített reprezentatív felmérésből, amely a hazai kkv-k és egyéni vállalkozók számlázási szokásait vizsgálta. A kutatás többek között arra is rávilágít, hogy az online számlázást még nem használók közül a megkérdezettek több mint fele a következő félévben még nem tervezi az arra való átállást a júliusi jogszabályváltozás ellenére sem. Arról egyébként a legtöbben tudnak, hogy a számlázással kapcsolatos szabályok változnak július 1-jétől, azonban sokan nem tudják pontosan, hogy mi változik néhány héten belül. 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color w:val="303438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 két lépcsőben, július 1-jével, majd második ütemben 2021. január 1-jével életbe lépő </w:t>
      </w:r>
      <w:r w:rsidDel="00000000" w:rsidR="00000000" w:rsidRPr="00000000">
        <w:rPr>
          <w:color w:val="303438"/>
          <w:rtl w:val="0"/>
        </w:rPr>
        <w:t xml:space="preserve">jogszabály jelentős változást hoz az online számla adatszolgáltatási kötelezettség terén, amely leginkább a kkv-k és az egyéni vállalkozók mindennapjait alakíthatja át. Ennek kapcsán volt kíváncsi a Számlázz.hu arra, hogy hogyan működnek most a vállalkozások, mit tudnak a várható jogszabályi változásokról, és hogyan készülnek azokra. 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b w:val="1"/>
          <w:color w:val="303438"/>
          <w:highlight w:val="white"/>
          <w:rtl w:val="0"/>
        </w:rPr>
        <w:t xml:space="preserve">Használják az online számlázást, de még mindig a kézi számlatömb tarol 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 kkv-k és az egyéni vállalkozók körében összességében még mindig a kézi számlatömb a leggyakrabban alkalmazott számlázási módszer, sokszor még azok is használnak legalább részben kézi számlatömböt, akik egyébként online számlázóval is rendelkeznek. A válaszadók csaknem kétharmada részesíti előnyben a kézi számlatömböt, kicsit több mint egyharmaduk használja legtöbbször az online számlázást, és egyötödük él a </w:t>
      </w:r>
      <w:r w:rsidDel="00000000" w:rsidR="00000000" w:rsidRPr="00000000">
        <w:rPr>
          <w:color w:val="303438"/>
          <w:rtl w:val="0"/>
        </w:rPr>
        <w:t xml:space="preserve">telepíthető </w:t>
      </w:r>
      <w:r w:rsidDel="00000000" w:rsidR="00000000" w:rsidRPr="00000000">
        <w:rPr>
          <w:color w:val="303438"/>
          <w:highlight w:val="white"/>
          <w:rtl w:val="0"/>
        </w:rPr>
        <w:t xml:space="preserve">számlaprogramok lehetőségével. Ráadásul a kutatás azt mutatja, hogy még mindig fontos, hogy kinyomtatva is meglegyen a számla az  online számlázóprogram alkalmazásakor is, hiszen tízből négy vállalkozó kinyomtatva adja át vagy postázza vevőinek az online számlázóban kiállított számláit. 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b w:val="1"/>
          <w:color w:val="303438"/>
          <w:highlight w:val="white"/>
          <w:rtl w:val="0"/>
        </w:rPr>
        <w:t xml:space="preserve">Az átutalás a legnépszerűbb fizetési forma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 készpénzes fizetés saját telephelyen (51%) és külső helyszínen (24%) még mindig jellemző fizetési forma, és csak a vállalkozók 15%-a teszi lehetővé a helyszíni kártyás fizetést.  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 vállalkozások túlnyomó többségénél (84%) legalább részben jellemző a kiszámlázott összeg banki átutalásként való fogadása. Az utalás automatikus összevezetése a számlával, vagy a be nem érkezett utalás miatti automatikus fizetési felszólítás évek óta népszerű szolgáltatás a Számlázz.hu-nál, hiszen ezzel jelentős időt takarítanak meg a vállalkozások. Azonban a válaszadók nagyon kicsi része tudja, hogy a Számlázz.hu az egyetlen online számlázó hazánkban, amely kezelhet banki adatokat, rendelkezik MNB által kiadott számlainformációs szolgáltatói (AISP) engedéllyel.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b w:val="1"/>
          <w:color w:val="303438"/>
          <w:highlight w:val="white"/>
          <w:rtl w:val="0"/>
        </w:rPr>
        <w:t xml:space="preserve">Tudják, hogy változás lesz, de nem tudják pontosan, hogy mi változik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Arra a kérdésre, hogy milyen jogszabályi változások várhatók hazánkban, a kkv-k 80, az egyéni vállalkozóknak pedig csak 58 százaléka válaszolta azt, hogy tud arról, hogy hamarosan a kisebb összegű áfás számlákat is be kell küldeni online a NAV-nak. Ráadásul a kkv-k fele részben rosszul értelmezi a jogszabályi változást, mivel szerintük az, hogy július 1-jétől eltörlik a jelenle</w:t>
      </w:r>
      <w:r w:rsidDel="00000000" w:rsidR="00000000" w:rsidRPr="00000000">
        <w:rPr>
          <w:color w:val="303438"/>
          <w:rtl w:val="0"/>
        </w:rPr>
        <w:t xml:space="preserve">gi legalább 100 000 forint áfát tartalmazó jelentési értékhatárt, azt is jelenti, hogy ezzel a kézi számlatömb használatának lehetősége is megszűnik.</w:t>
      </w:r>
      <w:r w:rsidDel="00000000" w:rsidR="00000000" w:rsidRPr="00000000">
        <w:rPr>
          <w:color w:val="303438"/>
          <w:highlight w:val="white"/>
          <w:rtl w:val="0"/>
        </w:rPr>
        <w:t xml:space="preserve">  Pedig a </w:t>
      </w:r>
      <w:r w:rsidDel="00000000" w:rsidR="00000000" w:rsidRPr="00000000">
        <w:rPr>
          <w:color w:val="303438"/>
          <w:rtl w:val="0"/>
        </w:rPr>
        <w:t xml:space="preserve">szabályozás valójában csak azt eredményezi, hogy az összes, belföldi adóalanynak (vállalkozásnak, egyéni vállalkozónak vagy adószámos magánszemélynek) kiállított számlát be kell küldeni a NAV-nak, függetlenül az áfa összegétől, amelyhez végső s</w:t>
      </w:r>
      <w:r w:rsidDel="00000000" w:rsidR="00000000" w:rsidRPr="00000000">
        <w:rPr>
          <w:color w:val="303438"/>
          <w:highlight w:val="white"/>
          <w:rtl w:val="0"/>
        </w:rPr>
        <w:t xml:space="preserve">oron szükség van az online számlázás használatára, azonban nem zárják ki mellette a kézi számlatömb használatát sem. Ez esetben azonban a számlát egyszer ki kell állítani kézzel, majd az adatait digitálisan rögzíteni, ami gyakorlatilag a “dupla számlázás” terhét jelenti a vállalkozásoknak. 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276" w:lineRule="auto"/>
        <w:jc w:val="both"/>
        <w:rPr>
          <w:b w:val="1"/>
          <w:color w:val="303438"/>
          <w:highlight w:val="white"/>
        </w:rPr>
      </w:pPr>
      <w:r w:rsidDel="00000000" w:rsidR="00000000" w:rsidRPr="00000000">
        <w:rPr>
          <w:b w:val="1"/>
          <w:color w:val="303438"/>
          <w:highlight w:val="white"/>
          <w:rtl w:val="0"/>
        </w:rPr>
        <w:t xml:space="preserve">Még mindig sokan idegenkednek az online számlázástól</w:t>
      </w:r>
    </w:p>
    <w:p w:rsidR="00000000" w:rsidDel="00000000" w:rsidP="00000000" w:rsidRDefault="00000000" w:rsidRPr="00000000" w14:paraId="00000016">
      <w:pPr>
        <w:spacing w:after="240" w:before="240"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 kutatásból az is kiderült, hogy jelenleg a kizárólag kézi számlatömböt használók több mint fele nem is tervezi bevezetni a vállalkozás mindennapjaiba az online számlázást a következő fél évben. Ehhez részben az is hozzájárulhat, hogy sokan nem ismerik az új jogszabályt. A Számlázz.hu tapasztalatai alapján egyébként ez az arány a következő hónapokban még változhat: az előző években is az volt a tendencia, hogy sokan nem tervezték használni az online számlázót, végül aztán mégis nagyobb volt a növekedés ügyfeleik körében, tehát olyanok is áttértek, akiknek eredetileg más terveik voltak.</w:t>
      </w:r>
    </w:p>
    <w:p w:rsidR="00000000" w:rsidDel="00000000" w:rsidP="00000000" w:rsidRDefault="00000000" w:rsidRPr="00000000" w14:paraId="00000017">
      <w:pPr>
        <w:spacing w:after="240" w:before="240" w:line="276" w:lineRule="auto"/>
        <w:jc w:val="both"/>
        <w:rPr>
          <w:color w:val="303438"/>
          <w:highlight w:val="white"/>
        </w:rPr>
      </w:pPr>
      <w:r w:rsidDel="00000000" w:rsidR="00000000" w:rsidRPr="00000000">
        <w:rPr>
          <w:color w:val="303438"/>
          <w:highlight w:val="white"/>
          <w:rtl w:val="0"/>
        </w:rPr>
        <w:t xml:space="preserve">Azoknak, akik már most az online számlázóra való átállást tervezik, közel fele váltana azért, mert jogilag kötelező lesz az adatszolgáltatás, egyharmaduk mondta, hogy úgyis minden számlát rögzíteni kell majd a NAV-nak, így az online számlázás segítene ebben, és negyedük vallott úgy, hogy szerintük az online számlázással kényelmesebb lesz a számlák kiállítása, illetve tárolása. De szerepel még az átállás indokai között, hogy a vállalkozók szerint gyorsabb az online számlázóprogrammal a számlák kiállítása, a kitöltést ellenőrzi a rendszer, ezért nem lehet hibázni, nem beszélve arról, hogy – mivel az alap szolgáltatások ingyenesek – olcsóbb, mint a számlatömb használata.</w:t>
      </w:r>
    </w:p>
    <w:p w:rsidR="00000000" w:rsidDel="00000000" w:rsidP="00000000" w:rsidRDefault="00000000" w:rsidRPr="00000000" w14:paraId="00000018">
      <w:pPr>
        <w:spacing w:after="240" w:before="240" w:line="276" w:lineRule="auto"/>
        <w:jc w:val="both"/>
        <w:rPr/>
      </w:pPr>
      <w:r w:rsidDel="00000000" w:rsidR="00000000" w:rsidRPr="00000000">
        <w:rPr>
          <w:color w:val="303438"/>
          <w:highlight w:val="white"/>
          <w:rtl w:val="0"/>
        </w:rPr>
        <w:t xml:space="preserve">A változás pedig hamarosan mindenki számára elkerülhetetlen lesz, hiszen – bár egyelőre a számlatömbök maradnak – kénytelen lesz mindenki elektronikusan megoldani az online jelentési kötelezettség teljesítését.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